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BB4F37" w14:textId="77777777" w:rsidR="00BA0F10" w:rsidRDefault="00BA0F10" w:rsidP="00BA0F10">
      <w:pPr>
        <w:pStyle w:val="1"/>
      </w:pPr>
      <w:r>
        <w:t>Резюме</w:t>
      </w:r>
    </w:p>
    <w:p w14:paraId="48C7B562" w14:textId="6B1AA48C" w:rsidR="00BA0F10" w:rsidRDefault="00BA0F10" w:rsidP="00BA0F10">
      <w:r>
        <w:t>Мета-анализ результатов, полученных в длительных, контролируемых исследованиях, показал, что терапия</w:t>
      </w:r>
      <w:r>
        <w:t xml:space="preserve"> </w:t>
      </w:r>
      <w:r>
        <w:t>аспирином или клопидогрелом при сравнении с плацебо достоверно снижает риск возникновения общей летальности, нефатального инфаркта миокарда, инсульта, а также сосудистой смерти на 25%. Терапия комбинацией аспирина и клопидогрела больных острым инфарктом миокарда не повлияла на общую летальность, и только</w:t>
      </w:r>
      <w:r>
        <w:t xml:space="preserve"> </w:t>
      </w:r>
      <w:r>
        <w:t>частота комбинированной конечной точки (нефатальные случаи инфаркта миокарда, инсульта, реваскуляризации сердца и кардиоваскулярной смерти) снизилась на 20% (</w:t>
      </w:r>
      <w:proofErr w:type="gramStart"/>
      <w:r>
        <w:t>р&lt;</w:t>
      </w:r>
      <w:proofErr w:type="gramEnd"/>
      <w:r>
        <w:t>0,001). Попытки в многочисленных иссле-дованиях оценить возможность повышения эффективности длительной антитромботической терапии больных</w:t>
      </w:r>
      <w:r>
        <w:t xml:space="preserve"> </w:t>
      </w:r>
      <w:r>
        <w:t>после перенесенного острого коронарного синдрома с помощью увеличения дозы дезагреганта или простого,</w:t>
      </w:r>
      <w:r>
        <w:t xml:space="preserve"> </w:t>
      </w:r>
      <w:r>
        <w:t>бесконтрольного увеличения количества антитромботических препаратов—два дезагреганта в сочетании с одним из новых оральных антикоагулянтов, не продемонстрировали значимого улучшения результатов терапии,</w:t>
      </w:r>
      <w:r>
        <w:t xml:space="preserve"> </w:t>
      </w:r>
      <w:r>
        <w:t>т.к. частота основной конечной точки—общей летальности, не изменялась. Некоторое уменьшение комбинированной конечной точки—вторичной точки по своему значению, сопровождалось значительным увеличением</w:t>
      </w:r>
      <w:r>
        <w:t xml:space="preserve"> </w:t>
      </w:r>
      <w:r>
        <w:t>риска кровотечений, что, как известно, ассоциируется с увеличением риска летального исхода. Такие же данные</w:t>
      </w:r>
      <w:r>
        <w:t xml:space="preserve"> </w:t>
      </w:r>
      <w:r>
        <w:t>были получены в исследовании PEGASUS (Prevention of Cardiovascular Events in Patients With Prior Heart AttackUsing Ticagrelor Compared to Placebo on a Background of Aspirin) у больных документированной хронической</w:t>
      </w:r>
      <w:r>
        <w:t xml:space="preserve"> </w:t>
      </w:r>
      <w:r>
        <w:t>ишемической болезнью сердца (ИБС) (перенесших инфаркт миокарда). Полученные данные свидетельствуют,</w:t>
      </w:r>
      <w:r>
        <w:t xml:space="preserve"> </w:t>
      </w:r>
      <w:r>
        <w:t>что бесконтрольное увеличение дозы препаратов и их комбинаций не влияет на общую летальность. Одним</w:t>
      </w:r>
      <w:r>
        <w:t xml:space="preserve"> </w:t>
      </w:r>
      <w:r>
        <w:t>из новых направлений поиска решения проблемы повышения эффективности терапии без увеличения риска</w:t>
      </w:r>
      <w:r>
        <w:t xml:space="preserve"> </w:t>
      </w:r>
      <w:r>
        <w:t>кровотечений может быть индивидуальный выбор препарата, основанный на оценке степени его влияния на</w:t>
      </w:r>
      <w:r>
        <w:t xml:space="preserve"> </w:t>
      </w:r>
      <w:r>
        <w:t>агрегацию тромбоцитов. К настоящему времени во многих исследованиях было показано наличие взаимосвязи</w:t>
      </w:r>
      <w:r>
        <w:t xml:space="preserve"> </w:t>
      </w:r>
      <w:r>
        <w:t>между высокой остаточной реактивностью тромбоцитов и летальностью больных ИБС. На основании этих данных были предложены целевые уровни снижения реактивности тромбоцитов на терапии аспирином, клопидогрелом, которые позволяют осуществлять выбор эффективного препарата для каждого больного. Возможность</w:t>
      </w:r>
      <w:r>
        <w:t xml:space="preserve"> </w:t>
      </w:r>
      <w:r>
        <w:t>его осуществления представлена в данной публикации.</w:t>
      </w:r>
    </w:p>
    <w:p w14:paraId="30863CCE" w14:textId="77777777" w:rsidR="00BA0F10" w:rsidRPr="00BA0F10" w:rsidRDefault="00BA0F10" w:rsidP="00BA0F10">
      <w:pPr>
        <w:rPr>
          <w:b/>
          <w:bCs/>
        </w:rPr>
      </w:pPr>
      <w:bookmarkStart w:id="0" w:name="_GoBack"/>
      <w:r w:rsidRPr="00BA0F10">
        <w:rPr>
          <w:b/>
          <w:bCs/>
        </w:rPr>
        <w:t>Ключевые слова</w:t>
      </w:r>
      <w:bookmarkEnd w:id="0"/>
    </w:p>
    <w:p w14:paraId="7A1626FE" w14:textId="28D77A43" w:rsidR="00657D7D" w:rsidRPr="00195CC8" w:rsidRDefault="00BA0F10" w:rsidP="00BA0F10">
      <w:r>
        <w:t>Атеротромбоз, антитромботическая терапия, агрегация тромбоцитов, дезагреганты.</w:t>
      </w:r>
    </w:p>
    <w:sectPr w:rsidR="00657D7D" w:rsidRPr="00195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07344"/>
    <w:rsid w:val="000318A4"/>
    <w:rsid w:val="00032111"/>
    <w:rsid w:val="00044554"/>
    <w:rsid w:val="000854F6"/>
    <w:rsid w:val="000F466A"/>
    <w:rsid w:val="000F6853"/>
    <w:rsid w:val="00195CC8"/>
    <w:rsid w:val="001D0E8F"/>
    <w:rsid w:val="001E2645"/>
    <w:rsid w:val="00200DF3"/>
    <w:rsid w:val="002073BF"/>
    <w:rsid w:val="00227EEA"/>
    <w:rsid w:val="002321A4"/>
    <w:rsid w:val="00257F92"/>
    <w:rsid w:val="002A3358"/>
    <w:rsid w:val="002B6113"/>
    <w:rsid w:val="002D03D4"/>
    <w:rsid w:val="002E514C"/>
    <w:rsid w:val="00381E79"/>
    <w:rsid w:val="003834AD"/>
    <w:rsid w:val="003D4FD1"/>
    <w:rsid w:val="003F6E9F"/>
    <w:rsid w:val="0041471D"/>
    <w:rsid w:val="00424125"/>
    <w:rsid w:val="00473A61"/>
    <w:rsid w:val="00477467"/>
    <w:rsid w:val="00496CD3"/>
    <w:rsid w:val="004A4573"/>
    <w:rsid w:val="004C27B9"/>
    <w:rsid w:val="005073CB"/>
    <w:rsid w:val="005120CC"/>
    <w:rsid w:val="00531178"/>
    <w:rsid w:val="005426F4"/>
    <w:rsid w:val="00555142"/>
    <w:rsid w:val="00583D1B"/>
    <w:rsid w:val="005E3963"/>
    <w:rsid w:val="005F0A0A"/>
    <w:rsid w:val="00633694"/>
    <w:rsid w:val="00657D7D"/>
    <w:rsid w:val="00683C4A"/>
    <w:rsid w:val="006A756B"/>
    <w:rsid w:val="006C1BBD"/>
    <w:rsid w:val="006D12DB"/>
    <w:rsid w:val="006D45C4"/>
    <w:rsid w:val="006F5AF8"/>
    <w:rsid w:val="00712EB7"/>
    <w:rsid w:val="007132FF"/>
    <w:rsid w:val="00734EFF"/>
    <w:rsid w:val="00770A33"/>
    <w:rsid w:val="0077630C"/>
    <w:rsid w:val="00785A59"/>
    <w:rsid w:val="00795E32"/>
    <w:rsid w:val="007B2D19"/>
    <w:rsid w:val="007B7C25"/>
    <w:rsid w:val="007D2F51"/>
    <w:rsid w:val="007E5164"/>
    <w:rsid w:val="00845D24"/>
    <w:rsid w:val="00886ACC"/>
    <w:rsid w:val="00895C46"/>
    <w:rsid w:val="008C23E5"/>
    <w:rsid w:val="00921232"/>
    <w:rsid w:val="00943ED8"/>
    <w:rsid w:val="0098564E"/>
    <w:rsid w:val="009C234E"/>
    <w:rsid w:val="009C42B0"/>
    <w:rsid w:val="00A375E0"/>
    <w:rsid w:val="00A508BF"/>
    <w:rsid w:val="00A55BBB"/>
    <w:rsid w:val="00A569A0"/>
    <w:rsid w:val="00AA27B4"/>
    <w:rsid w:val="00AE1722"/>
    <w:rsid w:val="00B17EC5"/>
    <w:rsid w:val="00B2033C"/>
    <w:rsid w:val="00B21882"/>
    <w:rsid w:val="00B64F38"/>
    <w:rsid w:val="00BA0F10"/>
    <w:rsid w:val="00C050FF"/>
    <w:rsid w:val="00C74EF6"/>
    <w:rsid w:val="00C84A7B"/>
    <w:rsid w:val="00C95555"/>
    <w:rsid w:val="00CB5991"/>
    <w:rsid w:val="00CF036B"/>
    <w:rsid w:val="00D22F46"/>
    <w:rsid w:val="00D453CD"/>
    <w:rsid w:val="00D7750F"/>
    <w:rsid w:val="00D8377F"/>
    <w:rsid w:val="00D8390B"/>
    <w:rsid w:val="00DB70E6"/>
    <w:rsid w:val="00DC7D8A"/>
    <w:rsid w:val="00E41231"/>
    <w:rsid w:val="00E7451F"/>
    <w:rsid w:val="00E94A56"/>
    <w:rsid w:val="00EA1659"/>
    <w:rsid w:val="00EA3E2F"/>
    <w:rsid w:val="00EC5C7F"/>
    <w:rsid w:val="00EE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41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412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2020-04-10T06:11:00Z</dcterms:created>
  <dcterms:modified xsi:type="dcterms:W3CDTF">2020-04-10T06:11:00Z</dcterms:modified>
</cp:coreProperties>
</file>